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(internal and/or external ashlar) has been constructed using a solid, sanded, authentic coal-fired brick with unique shades of colour. The bricks are laid by hand and firing is reduced by adding a fine coal mixture and carrying out laying by hand. As a result of the natural reduction through coal-firing, some facing bricks have the light look of a field kiln brick while a number of visible sides of the brick contain coal residue and signs of manual laying. Due to the atmospheric differences in the kiln, a number of bricks have paler sides and one darker side. The colour of the body is brown-red with nuances.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grained structure. It is free from lime and other inclusions and has at least one stretch and one head which are free from cracks and other aspects which negatively affect the overall appearance of the brickwork.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0.65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 </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3011</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31-03-2025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